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53E7" w14:textId="5CB147AF" w:rsidR="002A7852" w:rsidRDefault="00936378" w:rsidP="00AA54EF">
      <w:pPr>
        <w:spacing w:after="120"/>
      </w:pPr>
      <w:r>
        <w:rPr>
          <w:b/>
        </w:rPr>
        <w:t xml:space="preserve">Supplementary </w:t>
      </w:r>
      <w:r w:rsidR="00AA54EF">
        <w:rPr>
          <w:b/>
        </w:rPr>
        <w:t xml:space="preserve">Table S1: </w:t>
      </w:r>
      <w:r w:rsidR="00AA54EF">
        <w:rPr>
          <w:bCs/>
        </w:rPr>
        <w:t>Summary of the clinical and selection criteria for the CLL samples</w:t>
      </w:r>
    </w:p>
    <w:tbl>
      <w:tblPr>
        <w:tblW w:w="0" w:type="auto"/>
        <w:jc w:val="center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480"/>
      </w:tblGrid>
      <w:tr w:rsidR="002A7852" w14:paraId="755A8A4C" w14:textId="77777777" w:rsidTr="00B61704">
        <w:trPr>
          <w:tblHeader/>
          <w:jc w:val="center"/>
        </w:trPr>
        <w:tc>
          <w:tcPr>
            <w:tcW w:w="2880" w:type="dxa"/>
            <w:tcBorders>
              <w:top w:val="single" w:sz="8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BF99E3" w14:textId="77777777" w:rsidR="002A7852" w:rsidRDefault="00000000" w:rsidP="00494969">
            <w:pPr>
              <w:spacing w:after="0" w:line="240" w:lineRule="auto"/>
            </w:pPr>
            <w:r>
              <w:rPr>
                <w:b/>
              </w:rPr>
              <w:t>Field</w:t>
            </w:r>
          </w:p>
        </w:tc>
        <w:tc>
          <w:tcPr>
            <w:tcW w:w="6480" w:type="dxa"/>
            <w:tcBorders>
              <w:top w:val="single" w:sz="8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7F728E" w14:textId="77777777" w:rsidR="002A7852" w:rsidRDefault="00000000" w:rsidP="00494969">
            <w:pPr>
              <w:spacing w:after="0" w:line="240" w:lineRule="auto"/>
            </w:pPr>
            <w:r>
              <w:rPr>
                <w:b/>
              </w:rPr>
              <w:t>Information</w:t>
            </w:r>
          </w:p>
        </w:tc>
      </w:tr>
      <w:tr w:rsidR="002A7852" w14:paraId="3340498F" w14:textId="77777777" w:rsidTr="00B61704">
        <w:trPr>
          <w:jc w:val="center"/>
        </w:trPr>
        <w:tc>
          <w:tcPr>
            <w:tcW w:w="288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788836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Dataset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0E4A2D" w14:textId="77777777" w:rsidR="002A7852" w:rsidRDefault="00000000">
            <w:pPr>
              <w:spacing w:after="0" w:line="240" w:lineRule="auto"/>
            </w:pPr>
            <w:r>
              <w:t>GSE70830</w:t>
            </w:r>
          </w:p>
        </w:tc>
      </w:tr>
      <w:tr w:rsidR="002A7852" w14:paraId="4EFDCAF1" w14:textId="77777777" w:rsidTr="00494969">
        <w:trPr>
          <w:jc w:val="center"/>
        </w:trPr>
        <w:tc>
          <w:tcPr>
            <w:tcW w:w="28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52C90B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Cohort</w:t>
            </w:r>
          </w:p>
        </w:tc>
        <w:tc>
          <w:tcPr>
            <w:tcW w:w="6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F77986" w14:textId="77777777" w:rsidR="002A7852" w:rsidRDefault="00000000">
            <w:pPr>
              <w:spacing w:after="0" w:line="240" w:lineRule="auto"/>
            </w:pPr>
            <w:r>
              <w:t>10 CLL samples and 5 normal control samples</w:t>
            </w:r>
          </w:p>
        </w:tc>
      </w:tr>
      <w:tr w:rsidR="002A7852" w14:paraId="43BAD2C4" w14:textId="77777777" w:rsidTr="00494969">
        <w:trPr>
          <w:jc w:val="center"/>
        </w:trPr>
        <w:tc>
          <w:tcPr>
            <w:tcW w:w="28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5F6167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Sample source</w:t>
            </w:r>
          </w:p>
        </w:tc>
        <w:tc>
          <w:tcPr>
            <w:tcW w:w="6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28B529" w14:textId="77777777" w:rsidR="002A7852" w:rsidRDefault="00000000">
            <w:pPr>
              <w:spacing w:after="0" w:line="240" w:lineRule="auto"/>
            </w:pPr>
            <w:r>
              <w:t>Peripheral blood CD19-positive B cells</w:t>
            </w:r>
          </w:p>
        </w:tc>
      </w:tr>
      <w:tr w:rsidR="002A7852" w14:paraId="2C496DDA" w14:textId="77777777" w:rsidTr="00494969">
        <w:trPr>
          <w:jc w:val="center"/>
        </w:trPr>
        <w:tc>
          <w:tcPr>
            <w:tcW w:w="28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34801E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CLL patient status</w:t>
            </w:r>
          </w:p>
        </w:tc>
        <w:tc>
          <w:tcPr>
            <w:tcW w:w="6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23F3B7" w14:textId="77777777" w:rsidR="002A7852" w:rsidRDefault="00000000">
            <w:pPr>
              <w:spacing w:after="0" w:line="240" w:lineRule="auto"/>
            </w:pPr>
            <w:r>
              <w:t>Untreated CLL patients</w:t>
            </w:r>
          </w:p>
        </w:tc>
      </w:tr>
      <w:tr w:rsidR="002A7852" w14:paraId="1367790B" w14:textId="77777777" w:rsidTr="00494969">
        <w:trPr>
          <w:jc w:val="center"/>
        </w:trPr>
        <w:tc>
          <w:tcPr>
            <w:tcW w:w="28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080AC8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Ethics and consent</w:t>
            </w:r>
          </w:p>
        </w:tc>
        <w:tc>
          <w:tcPr>
            <w:tcW w:w="6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92522F" w14:textId="77777777" w:rsidR="002A7852" w:rsidRDefault="00000000">
            <w:pPr>
              <w:spacing w:after="0" w:line="240" w:lineRule="auto"/>
            </w:pPr>
            <w:r>
              <w:t>Samples were obtained after institutional human subject approval and written informed consent, as reported in the associated publication</w:t>
            </w:r>
          </w:p>
        </w:tc>
      </w:tr>
      <w:tr w:rsidR="002A7852" w14:paraId="17633462" w14:textId="77777777" w:rsidTr="00494969">
        <w:trPr>
          <w:jc w:val="center"/>
        </w:trPr>
        <w:tc>
          <w:tcPr>
            <w:tcW w:w="28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9B55AB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Available clinical information</w:t>
            </w:r>
          </w:p>
        </w:tc>
        <w:tc>
          <w:tcPr>
            <w:tcW w:w="6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323D36" w14:textId="77777777" w:rsidR="002A7852" w:rsidRDefault="00000000">
            <w:pPr>
              <w:spacing w:after="0" w:line="240" w:lineRule="auto"/>
            </w:pPr>
            <w:r>
              <w:t>Age, sex, Rai stage, white blood cell count, CD38 positivity, ZAP70 status, and IGVH mutation status</w:t>
            </w:r>
          </w:p>
        </w:tc>
      </w:tr>
      <w:tr w:rsidR="002A7852" w14:paraId="65A1F7EE" w14:textId="77777777" w:rsidTr="00494969">
        <w:trPr>
          <w:jc w:val="center"/>
        </w:trPr>
        <w:tc>
          <w:tcPr>
            <w:tcW w:w="28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DD5F81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Control samples</w:t>
            </w:r>
          </w:p>
        </w:tc>
        <w:tc>
          <w:tcPr>
            <w:tcW w:w="6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A5B1C6" w14:textId="77777777" w:rsidR="002A7852" w:rsidRDefault="00000000">
            <w:pPr>
              <w:spacing w:after="0" w:line="240" w:lineRule="auto"/>
            </w:pPr>
            <w:r>
              <w:t>Normal peripheral blood CD19-positive B cell controls</w:t>
            </w:r>
          </w:p>
        </w:tc>
      </w:tr>
      <w:tr w:rsidR="002A7852" w14:paraId="05810FEA" w14:textId="77777777" w:rsidTr="00494969">
        <w:trPr>
          <w:jc w:val="center"/>
        </w:trPr>
        <w:tc>
          <w:tcPr>
            <w:tcW w:w="28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B1612C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Inclusion basis for the present study</w:t>
            </w:r>
          </w:p>
        </w:tc>
        <w:tc>
          <w:tcPr>
            <w:tcW w:w="648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E98430" w14:textId="77777777" w:rsidR="002A7852" w:rsidRDefault="00000000">
            <w:pPr>
              <w:spacing w:after="0" w:line="240" w:lineRule="auto"/>
            </w:pPr>
            <w:r>
              <w:t>Publicly available RNA seq data, CLL disease status, untreated patient status, peripheral blood CD19-positive B cell origin, and availability of normal CD19-positive B cell controls</w:t>
            </w:r>
          </w:p>
        </w:tc>
      </w:tr>
      <w:tr w:rsidR="002A7852" w14:paraId="50D43D00" w14:textId="77777777" w:rsidTr="00494969">
        <w:trPr>
          <w:jc w:val="center"/>
        </w:trPr>
        <w:tc>
          <w:tcPr>
            <w:tcW w:w="2880" w:type="dxa"/>
            <w:tcBorders>
              <w:bottom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4C3BC1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Exclusion criteria</w:t>
            </w:r>
          </w:p>
        </w:tc>
        <w:tc>
          <w:tcPr>
            <w:tcW w:w="6480" w:type="dxa"/>
            <w:tcBorders>
              <w:bottom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9D3A58" w14:textId="77777777" w:rsidR="002A7852" w:rsidRDefault="00000000">
            <w:pPr>
              <w:spacing w:after="0" w:line="240" w:lineRule="auto"/>
            </w:pPr>
            <w:r>
              <w:t>Formal exclusion criteria were not specified in the public GEO record or associated publication</w:t>
            </w:r>
          </w:p>
        </w:tc>
      </w:tr>
      <w:tr w:rsidR="002A7852" w14:paraId="74B74877" w14:textId="77777777" w:rsidTr="00494969">
        <w:trPr>
          <w:jc w:val="center"/>
        </w:trPr>
        <w:tc>
          <w:tcPr>
            <w:tcW w:w="2880" w:type="dxa"/>
            <w:tcBorders>
              <w:top w:val="nil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350C94" w14:textId="77777777" w:rsidR="002A7852" w:rsidRPr="00B61704" w:rsidRDefault="00000000">
            <w:pPr>
              <w:spacing w:after="0" w:line="240" w:lineRule="auto"/>
              <w:rPr>
                <w:bCs/>
              </w:rPr>
            </w:pPr>
            <w:r w:rsidRPr="00B61704">
              <w:rPr>
                <w:bCs/>
              </w:rPr>
              <w:t>Source</w:t>
            </w:r>
          </w:p>
        </w:tc>
        <w:tc>
          <w:tcPr>
            <w:tcW w:w="6480" w:type="dxa"/>
            <w:tcBorders>
              <w:top w:val="nil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3072F8" w14:textId="77777777" w:rsidR="002A7852" w:rsidRDefault="00000000">
            <w:pPr>
              <w:spacing w:after="0" w:line="240" w:lineRule="auto"/>
            </w:pPr>
            <w:r>
              <w:t>Public GEO record and associated publication</w:t>
            </w:r>
          </w:p>
        </w:tc>
      </w:tr>
    </w:tbl>
    <w:p w14:paraId="3663FC2A" w14:textId="2A37A13D" w:rsidR="002A7852" w:rsidRDefault="00F63F44">
      <w:pPr>
        <w:spacing w:before="120" w:after="0" w:line="240" w:lineRule="auto"/>
      </w:pPr>
      <w:r w:rsidRPr="00F63F44">
        <w:t>Note</w:t>
      </w:r>
      <w:r w:rsidR="007577EF">
        <w:t>:</w:t>
      </w:r>
      <w:r w:rsidRPr="00F63F44">
        <w:t xml:space="preserve"> CLL, chronic lymphocytic leukemia; GEO, Gene Expression Omnibus; IGVH, immunoglobulin heavy-chain variable region; RNA-seq, RNA sequencing; ZAP70, zeta-chain-associated protein kinase 70. Clinical and sample-selection information was summarized from the public GEO record and the associated publication</w:t>
      </w:r>
      <w:r>
        <w:t>.</w:t>
      </w:r>
    </w:p>
    <w:sectPr w:rsidR="002A7852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 Pro">
    <w:altName w:val="Calibri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5580259">
    <w:abstractNumId w:val="8"/>
  </w:num>
  <w:num w:numId="2" w16cid:durableId="792793697">
    <w:abstractNumId w:val="6"/>
  </w:num>
  <w:num w:numId="3" w16cid:durableId="2084788778">
    <w:abstractNumId w:val="5"/>
  </w:num>
  <w:num w:numId="4" w16cid:durableId="48498014">
    <w:abstractNumId w:val="4"/>
  </w:num>
  <w:num w:numId="5" w16cid:durableId="428279375">
    <w:abstractNumId w:val="7"/>
  </w:num>
  <w:num w:numId="6" w16cid:durableId="1620406146">
    <w:abstractNumId w:val="3"/>
  </w:num>
  <w:num w:numId="7" w16cid:durableId="583148005">
    <w:abstractNumId w:val="2"/>
  </w:num>
  <w:num w:numId="8" w16cid:durableId="1926184751">
    <w:abstractNumId w:val="1"/>
  </w:num>
  <w:num w:numId="9" w16cid:durableId="1089808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852"/>
    <w:rsid w:val="002A7852"/>
    <w:rsid w:val="00494969"/>
    <w:rsid w:val="007577EF"/>
    <w:rsid w:val="00840286"/>
    <w:rsid w:val="00936378"/>
    <w:rsid w:val="00AA54EF"/>
    <w:rsid w:val="00B06D62"/>
    <w:rsid w:val="00B61704"/>
    <w:rsid w:val="00BA6646"/>
    <w:rsid w:val="00F6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701080"/>
  <w14:defaultImageDpi w14:val="300"/>
  <w15:docId w15:val="{55AE915F-2A00-4FCE-94AC-504A9DFE2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nion Pro" w:eastAsia="Minion Pro" w:hAnsi="Minion Pro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Shima Tondar</cp:lastModifiedBy>
  <cp:revision>8</cp:revision>
  <dcterms:created xsi:type="dcterms:W3CDTF">2026-06-12T09:26:00Z</dcterms:created>
  <dcterms:modified xsi:type="dcterms:W3CDTF">2026-06-17T06:50:00Z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502c328a-0a7a-4601-b630-943442b41e8c</vt:lpwstr>
  </property>
</Properties>
</file>